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2D0BCD7A" wp14:editId="38D6896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681A2C" w:rsidRPr="005B3283" w:rsidRDefault="00681A2C" w:rsidP="00681A2C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681A2C" w:rsidRPr="005B3283" w:rsidRDefault="00681A2C" w:rsidP="00681A2C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681A2C" w:rsidRPr="005B3283" w:rsidRDefault="00681A2C" w:rsidP="00681A2C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681A2C" w:rsidRDefault="00681A2C" w:rsidP="00681A2C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 w:rsidR="008C0DB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3039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C209D9" w:rsidRPr="00213477" w:rsidRDefault="00C209D9" w:rsidP="00C209D9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  <w:lang w:val="ru-RU" w:eastAsia="en-US"/>
        </w:rPr>
      </w:pPr>
    </w:p>
    <w:p w:rsidR="00C209D9" w:rsidRPr="00293D64" w:rsidRDefault="00C209D9" w:rsidP="00C209D9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</w:t>
      </w:r>
      <w:r w:rsidR="000C1E62">
        <w:rPr>
          <w:b/>
          <w:bCs/>
          <w:color w:val="000000"/>
          <w:sz w:val="28"/>
          <w:szCs w:val="28"/>
        </w:rPr>
        <w:t>прийняття в комунальну власність Фонтанської сільської ради Одеського району Одеської області земельної ділянки кадастровий номер 5122786400:02:003:0475 та внесення змін до договору оренди земельної ділянки №8/57-18-ДО від 21.02.2018</w:t>
      </w:r>
    </w:p>
    <w:p w:rsidR="00C209D9" w:rsidRDefault="00C209D9" w:rsidP="00C209D9">
      <w:pPr>
        <w:jc w:val="both"/>
        <w:rPr>
          <w:sz w:val="28"/>
          <w:szCs w:val="28"/>
          <w:lang w:eastAsia="uk-UA"/>
        </w:rPr>
      </w:pPr>
    </w:p>
    <w:p w:rsidR="00C209D9" w:rsidRPr="000C1E62" w:rsidRDefault="00C209D9" w:rsidP="000C1E62">
      <w:pPr>
        <w:jc w:val="both"/>
        <w:rPr>
          <w:sz w:val="28"/>
          <w:szCs w:val="28"/>
        </w:rPr>
      </w:pPr>
      <w:r w:rsidRPr="000C1E62"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="000C1E62">
        <w:rPr>
          <w:sz w:val="28"/>
          <w:szCs w:val="28"/>
          <w:lang w:eastAsia="uk-UA"/>
        </w:rPr>
        <w:t>186</w:t>
      </w:r>
      <w:r w:rsidRPr="000C1E62">
        <w:rPr>
          <w:color w:val="000000"/>
          <w:sz w:val="28"/>
          <w:szCs w:val="28"/>
          <w:lang w:eastAsia="uk-UA"/>
        </w:rPr>
        <w:t xml:space="preserve"> Земельного кодексу України, ст. </w:t>
      </w:r>
      <w:r w:rsidR="000C1E62">
        <w:rPr>
          <w:color w:val="000000"/>
          <w:sz w:val="28"/>
          <w:szCs w:val="28"/>
          <w:lang w:eastAsia="uk-UA"/>
        </w:rPr>
        <w:t>19, 25, 26, 56</w:t>
      </w:r>
      <w:r w:rsidRPr="000C1E62">
        <w:rPr>
          <w:color w:val="000000"/>
          <w:sz w:val="28"/>
          <w:szCs w:val="28"/>
          <w:lang w:eastAsia="uk-UA"/>
        </w:rPr>
        <w:t xml:space="preserve"> Закону України «</w:t>
      </w:r>
      <w:r w:rsidR="000C1E62">
        <w:rPr>
          <w:color w:val="000000"/>
          <w:sz w:val="28"/>
          <w:szCs w:val="28"/>
          <w:lang w:eastAsia="uk-UA"/>
        </w:rPr>
        <w:t>землеустрій</w:t>
      </w:r>
      <w:r w:rsidRPr="000C1E62">
        <w:rPr>
          <w:color w:val="000000"/>
          <w:sz w:val="28"/>
          <w:szCs w:val="28"/>
          <w:lang w:eastAsia="uk-UA"/>
        </w:rPr>
        <w:t xml:space="preserve">», розглянувши звернення </w:t>
      </w:r>
      <w:r w:rsidRPr="000C1E62">
        <w:rPr>
          <w:bCs/>
          <w:color w:val="000000"/>
          <w:sz w:val="28"/>
          <w:szCs w:val="28"/>
          <w:lang w:eastAsia="uk-UA"/>
        </w:rPr>
        <w:t>директора Товариства з обмеженою відповідальністю «БЕЛЛ» Петрова В.Б.</w:t>
      </w:r>
      <w:r w:rsidR="000C1E62">
        <w:rPr>
          <w:bCs/>
          <w:color w:val="000000"/>
          <w:sz w:val="28"/>
          <w:szCs w:val="28"/>
          <w:lang w:eastAsia="uk-UA"/>
        </w:rPr>
        <w:t xml:space="preserve"> щодо затвердження технічної </w:t>
      </w:r>
      <w:r w:rsidR="000C1E62" w:rsidRPr="000C1E62">
        <w:rPr>
          <w:sz w:val="28"/>
          <w:szCs w:val="28"/>
        </w:rPr>
        <w:t>документації із землеустрою щодо поділу та об’єднання земельних ділянок товариству з обмеженою відповідальністю «БЕЛЛ» для індивідуального дачного будівництва кадастровий номер 5122786400:02:003:0380 та кадастровий номер 5122786400:02:003:0378, які розташовані на території ДБК «Золоті ключі», вул. Горіхова, буд. 29 (за межами населеного пункту) Фонтанської сільської ради Одеського району Одеської області</w:t>
      </w:r>
      <w:r w:rsidR="000C1E62">
        <w:rPr>
          <w:sz w:val="28"/>
          <w:szCs w:val="28"/>
        </w:rPr>
        <w:t xml:space="preserve"> </w:t>
      </w:r>
      <w:r w:rsidR="000C1E62" w:rsidRPr="000C1E62">
        <w:rPr>
          <w:sz w:val="28"/>
          <w:szCs w:val="28"/>
        </w:rPr>
        <w:t>та припинення права оренди вказаної земельної ділянки та внесення змін до договору оренди б/н від 14.11.2022 за взаємною згодою сторін</w:t>
      </w:r>
      <w:r w:rsidRPr="000C1E62">
        <w:rPr>
          <w:color w:val="000000"/>
          <w:sz w:val="28"/>
          <w:szCs w:val="28"/>
        </w:rPr>
        <w:t>,</w:t>
      </w:r>
      <w:r w:rsidRPr="000C1E62">
        <w:rPr>
          <w:color w:val="000000"/>
          <w:sz w:val="28"/>
          <w:szCs w:val="28"/>
          <w:lang w:eastAsia="uk-UA"/>
        </w:rPr>
        <w:t xml:space="preserve"> </w:t>
      </w:r>
      <w:r w:rsidRPr="000C1E62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C209D9" w:rsidRDefault="00C209D9" w:rsidP="00C209D9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C209D9" w:rsidRDefault="00C209D9" w:rsidP="00C209D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C209D9" w:rsidRPr="008172E5" w:rsidRDefault="008C0DBE" w:rsidP="00C209D9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Відкласти розгляд питання щодо з</w:t>
      </w:r>
      <w:r w:rsidR="000C1E62">
        <w:rPr>
          <w:color w:val="000000"/>
          <w:sz w:val="28"/>
          <w:szCs w:val="28"/>
          <w:lang w:eastAsia="uk-UA"/>
        </w:rPr>
        <w:t>атверд</w:t>
      </w:r>
      <w:r>
        <w:rPr>
          <w:color w:val="000000"/>
          <w:sz w:val="28"/>
          <w:szCs w:val="28"/>
          <w:lang w:eastAsia="uk-UA"/>
        </w:rPr>
        <w:t>ження</w:t>
      </w:r>
      <w:r w:rsidR="000C1E62">
        <w:rPr>
          <w:color w:val="000000"/>
          <w:sz w:val="28"/>
          <w:szCs w:val="28"/>
          <w:lang w:eastAsia="uk-UA"/>
        </w:rPr>
        <w:t xml:space="preserve"> </w:t>
      </w:r>
      <w:r w:rsidR="0051597F">
        <w:rPr>
          <w:bCs/>
          <w:color w:val="000000"/>
          <w:sz w:val="28"/>
          <w:szCs w:val="28"/>
          <w:lang w:eastAsia="uk-UA"/>
        </w:rPr>
        <w:t>технічн</w:t>
      </w:r>
      <w:r>
        <w:rPr>
          <w:bCs/>
          <w:color w:val="000000"/>
          <w:sz w:val="28"/>
          <w:szCs w:val="28"/>
          <w:lang w:eastAsia="uk-UA"/>
        </w:rPr>
        <w:t>ої</w:t>
      </w:r>
      <w:r w:rsidR="0051597F">
        <w:rPr>
          <w:bCs/>
          <w:color w:val="000000"/>
          <w:sz w:val="28"/>
          <w:szCs w:val="28"/>
          <w:lang w:eastAsia="uk-UA"/>
        </w:rPr>
        <w:t xml:space="preserve"> </w:t>
      </w:r>
      <w:r w:rsidR="0051597F" w:rsidRPr="000C1E62">
        <w:rPr>
          <w:sz w:val="28"/>
          <w:szCs w:val="28"/>
        </w:rPr>
        <w:t>документаці</w:t>
      </w:r>
      <w:r>
        <w:rPr>
          <w:sz w:val="28"/>
          <w:szCs w:val="28"/>
        </w:rPr>
        <w:t>ї</w:t>
      </w:r>
      <w:r w:rsidR="0051597F" w:rsidRPr="000C1E62">
        <w:rPr>
          <w:sz w:val="28"/>
          <w:szCs w:val="28"/>
        </w:rPr>
        <w:t xml:space="preserve"> із землеустрою щодо поділу та об’єднання земельних ділянок товариству з обмеженою відповідальністю «БЕЛЛ» для інд</w:t>
      </w:r>
      <w:bookmarkStart w:id="0" w:name="_GoBack"/>
      <w:bookmarkEnd w:id="0"/>
      <w:r w:rsidR="0051597F" w:rsidRPr="000C1E62">
        <w:rPr>
          <w:sz w:val="28"/>
          <w:szCs w:val="28"/>
        </w:rPr>
        <w:t xml:space="preserve">ивідуального дачного будівництва кадастровий номер 5122786400:02:003:0380 та кадастровий номер 5122786400:02:003:0378, які розташовані на території ДБК «Золоті ключі», </w:t>
      </w:r>
      <w:r w:rsidR="0051597F" w:rsidRPr="000C1E62">
        <w:rPr>
          <w:sz w:val="28"/>
          <w:szCs w:val="28"/>
        </w:rPr>
        <w:lastRenderedPageBreak/>
        <w:t>вул. Горіхова, буд. 29 (за межами населеного пункту) Фонтанської сільської ради Одеського району Одеської області</w:t>
      </w:r>
      <w:r w:rsidR="00C209D9" w:rsidRPr="008172E5">
        <w:rPr>
          <w:sz w:val="28"/>
          <w:szCs w:val="28"/>
        </w:rPr>
        <w:t>.</w:t>
      </w:r>
    </w:p>
    <w:p w:rsidR="008C0DBE" w:rsidRPr="008C0DBE" w:rsidRDefault="008C0DBE" w:rsidP="008C0DBE">
      <w:pPr>
        <w:jc w:val="both"/>
        <w:rPr>
          <w:sz w:val="28"/>
          <w:szCs w:val="24"/>
        </w:rPr>
      </w:pPr>
      <w:r w:rsidRPr="008C0DBE">
        <w:rPr>
          <w:sz w:val="28"/>
          <w:szCs w:val="28"/>
        </w:rPr>
        <w:t>2.  П</w:t>
      </w:r>
      <w:r w:rsidRPr="008C0DBE">
        <w:rPr>
          <w:color w:val="000000"/>
          <w:sz w:val="28"/>
          <w:szCs w:val="28"/>
        </w:rPr>
        <w:t>рийняте рішення довести до відома заявника</w:t>
      </w:r>
      <w:r w:rsidRPr="008C0DBE">
        <w:rPr>
          <w:sz w:val="28"/>
          <w:szCs w:val="24"/>
        </w:rPr>
        <w:t xml:space="preserve">. </w:t>
      </w:r>
    </w:p>
    <w:p w:rsidR="008C0DBE" w:rsidRPr="008C0DBE" w:rsidRDefault="008C0DBE" w:rsidP="008C0DBE">
      <w:pPr>
        <w:jc w:val="both"/>
        <w:rPr>
          <w:sz w:val="28"/>
          <w:szCs w:val="24"/>
        </w:rPr>
      </w:pPr>
      <w:r w:rsidRPr="008C0DBE">
        <w:rPr>
          <w:sz w:val="28"/>
          <w:szCs w:val="24"/>
        </w:rPr>
        <w:t xml:space="preserve">3. </w:t>
      </w:r>
      <w:r w:rsidRPr="008C0DBE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C0DBE" w:rsidRPr="008C0DBE" w:rsidRDefault="008C0DBE" w:rsidP="008C0DBE">
      <w:pPr>
        <w:pStyle w:val="a3"/>
        <w:jc w:val="both"/>
        <w:rPr>
          <w:sz w:val="28"/>
          <w:szCs w:val="28"/>
        </w:rPr>
      </w:pPr>
    </w:p>
    <w:p w:rsidR="008C0DBE" w:rsidRPr="008C0DBE" w:rsidRDefault="008C0DBE" w:rsidP="008C0DBE">
      <w:pPr>
        <w:jc w:val="both"/>
        <w:rPr>
          <w:b/>
          <w:sz w:val="28"/>
          <w:szCs w:val="28"/>
        </w:rPr>
      </w:pPr>
      <w:r w:rsidRPr="008C0DBE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8C0DBE" w:rsidRPr="008C0DBE" w:rsidRDefault="008C0DBE" w:rsidP="008C0DBE">
      <w:pPr>
        <w:pStyle w:val="a3"/>
        <w:jc w:val="both"/>
        <w:rPr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51597F" w:rsidRDefault="0051597F" w:rsidP="00C209D9">
      <w:pPr>
        <w:spacing w:after="160" w:line="256" w:lineRule="auto"/>
        <w:rPr>
          <w:color w:val="000000" w:themeColor="text1"/>
          <w:sz w:val="28"/>
          <w:szCs w:val="28"/>
        </w:rPr>
      </w:pPr>
    </w:p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p w:rsidR="00C209D9" w:rsidRDefault="00C209D9" w:rsidP="00C209D9"/>
    <w:sectPr w:rsidR="00C209D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7E"/>
    <w:rsid w:val="000C1E62"/>
    <w:rsid w:val="001F29EC"/>
    <w:rsid w:val="00353201"/>
    <w:rsid w:val="0051597F"/>
    <w:rsid w:val="00681A2C"/>
    <w:rsid w:val="008C0DBE"/>
    <w:rsid w:val="00C209D9"/>
    <w:rsid w:val="00D0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26568"/>
  <w15:chartTrackingRefBased/>
  <w15:docId w15:val="{E517442C-ACB1-4049-A8F2-21DBD091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81A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9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209D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681A2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2025-04-02T09:22:00Z</dcterms:created>
  <dcterms:modified xsi:type="dcterms:W3CDTF">2025-04-04T12:16:00Z</dcterms:modified>
</cp:coreProperties>
</file>